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rPr>
          <w:b w:val="0"/>
          <w:i w:val="0"/>
        </w:rPr>
        <w:t>Система управления рисками и страхованием в ЦОД</w:t>
      </w:r>
    </w:p>
    <w:p>
      <w:pPr>
        <w:pStyle w:val="Heading2"/>
        <w:pageBreakBefore w:val="0"/>
      </w:pPr>
      <w:r>
        <w:rPr>
          <w:b w:val="0"/>
          <w:i w:val="0"/>
        </w:rPr>
        <w:t>Как с нуля подготовить регламентирующую документацию, распределить ответственность и запустить работу</w:t>
      </w:r>
    </w:p>
    <w:p>
      <w:pPr>
        <w:pageBreakBefore w:val="0"/>
      </w:pPr>
      <w:r>
        <w:rPr>
          <w:b w:val="0"/>
          <w:i w:val="0"/>
        </w:rPr>
        <w:t>Практический проект для разработки, согласования и последующей адаптации под действующие внутренние методики организации.</w:t>
      </w:r>
    </w:p>
    <w:p>
      <w:pPr>
        <w:shd w:fill="FFF4E5"/>
        <w:pageBreakBefore w:val="0"/>
        <w:pBdr>
          <w:left w:val="single" w:sz="20" w:space="8" w:color="D97706"/>
        </w:pBdr>
        <w:spacing w:before="100" w:after="100"/>
        <w:ind w:left="198" w:right="57"/>
      </w:pPr>
      <w:r>
        <w:rPr>
          <w:b/>
          <w:i w:val="0"/>
        </w:rPr>
        <w:t>Важно: это проект методических и регламентирующих материалов, а не действующий внутренний нормативный документ. Конкретные шкалы, лимиты, должности и полномочия должны быть согласованы и адаптированы под действующую нормативную базу организации.</w:t>
      </w:r>
      <w:r>
        <w:rPr>
          <w:b w:val="0"/>
          <w:i w:val="0"/>
        </w:rPr>
      </w:r>
    </w:p>
    <w:p>
      <w:pPr>
        <w:pageBreakBefore w:val="0"/>
      </w:pPr>
      <w:r>
        <w:rPr>
          <w:b w:val="0"/>
          <w:i w:val="0"/>
        </w:rPr>
        <w:t>Методическая основа: Базельский комитет по банковскому надзору, Институт операционного риска / Институт управления рисками и публичная информация о задачах риск-менеджера и деятельности РЦОД.</w:t>
      </w:r>
    </w:p>
    <w:p>
      <w:pPr>
        <w:pStyle w:val="Heading2"/>
      </w:pPr>
      <w:r>
        <w:t>Термины и сокращения</w:t>
      </w:r>
    </w:p>
    <w:p>
      <w:pPr>
        <w:spacing w:after="60"/>
      </w:pPr>
      <w:r>
        <w:rPr>
          <w:sz w:val="20"/>
        </w:rPr>
        <w:t>Матрица распределения ответственности (Responsible, Accountable, Consulted, Informed, RACI).</w:t>
      </w:r>
    </w:p>
    <w:p>
      <w:pPr>
        <w:spacing w:after="60"/>
      </w:pPr>
      <w:r>
        <w:rPr>
          <w:sz w:val="20"/>
        </w:rPr>
        <w:t>Самооценка рисков и контролей (Risk and Control Self-Assessment, RCSA).</w:t>
      </w:r>
    </w:p>
    <w:p>
      <w:pPr>
        <w:spacing w:after="60"/>
      </w:pPr>
      <w:r>
        <w:rPr>
          <w:sz w:val="20"/>
        </w:rPr>
        <w:t>Ключевой индикатор риска (Key Risk Indicator, KRI).</w:t>
      </w:r>
    </w:p>
    <w:p>
      <w:pPr>
        <w:spacing w:after="60"/>
      </w:pPr>
      <w:r>
        <w:rPr>
          <w:sz w:val="20"/>
        </w:rPr>
        <w:t>Ключевой индикатор контроля (Key Control Indicator, KCI).</w:t>
      </w:r>
    </w:p>
    <w:p>
      <w:pPr>
        <w:spacing w:after="60"/>
      </w:pPr>
      <w:r>
        <w:rPr>
          <w:sz w:val="20"/>
        </w:rPr>
        <w:t>Соглашение об уровне сервиса (Service Level Agreement, SLA).</w:t>
      </w:r>
    </w:p>
    <w:p>
      <w:pPr>
        <w:spacing w:after="60"/>
      </w:pPr>
      <w:r>
        <w:rPr>
          <w:sz w:val="20"/>
        </w:rPr>
        <w:t>Перерыв в деятельности (Business Interruption, BI).</w:t>
      </w:r>
    </w:p>
    <w:p>
      <w:pPr>
        <w:spacing w:after="60"/>
      </w:pPr>
      <w:r>
        <w:rPr>
          <w:sz w:val="20"/>
        </w:rPr>
        <w:t>Анализ влияния на деятельность (Business Impact Analysis, BIA).</w:t>
      </w:r>
    </w:p>
    <w:p>
      <w:pPr>
        <w:spacing w:after="60"/>
      </w:pPr>
      <w:r>
        <w:rPr>
          <w:sz w:val="20"/>
        </w:rPr>
        <w:t>Целевое время восстановления (Recovery Time Objective, RTO).</w:t>
      </w:r>
    </w:p>
    <w:p>
      <w:pPr>
        <w:spacing w:after="60"/>
      </w:pPr>
      <w:r>
        <w:rPr>
          <w:sz w:val="20"/>
        </w:rPr>
        <w:t>Целевая точка восстановления (Recovery Point Objective, RPO).</w:t>
      </w:r>
    </w:p>
    <w:p>
      <w:pPr>
        <w:spacing w:after="60"/>
      </w:pPr>
      <w:r>
        <w:rPr>
          <w:sz w:val="20"/>
        </w:rPr>
        <w:t>Управление ИТ-услугами (Information Technology Service Management, ITSM).</w:t>
      </w:r>
    </w:p>
    <w:p>
      <w:pPr>
        <w:spacing w:after="60"/>
      </w:pPr>
      <w:r>
        <w:rPr>
          <w:sz w:val="20"/>
        </w:rPr>
        <w:t>Система управления операционным риском (Operational Risk Management Framework, ORMF).</w:t>
      </w:r>
    </w:p>
    <w:p>
      <w:pPr>
        <w:spacing w:after="60"/>
      </w:pPr>
      <w:r>
        <w:rPr>
          <w:sz w:val="20"/>
        </w:rPr>
        <w:t>Единая система операционной устойчивости (Common Operational Resilience Framework, CORF).</w:t>
      </w:r>
    </w:p>
    <w:p>
      <w:pPr>
        <w:spacing w:after="60"/>
      </w:pPr>
      <w:r>
        <w:rPr>
          <w:sz w:val="20"/>
        </w:rPr>
        <w:t>План непрерывности деятельности (Business Continuity Plan, BCP).</w:t>
      </w:r>
    </w:p>
    <w:p>
      <w:pPr>
        <w:spacing w:after="60"/>
      </w:pPr>
      <w:r>
        <w:rPr>
          <w:sz w:val="20"/>
        </w:rPr>
        <w:t>План аварийного восстановления (Disaster Recovery Plan, DRP).</w:t>
      </w:r>
    </w:p>
    <w:p>
      <w:pPr>
        <w:spacing w:after="60"/>
      </w:pPr>
      <w:r>
        <w:rPr>
          <w:sz w:val="20"/>
        </w:rPr>
        <w:t>Центр мониторинга информационной безопасности (Security Operations Center, SOC).</w:t>
      </w:r>
    </w:p>
    <w:p>
      <w:pPr>
        <w:spacing w:after="60"/>
      </w:pPr>
      <w:r>
        <w:rPr>
          <w:sz w:val="20"/>
        </w:rPr>
        <w:t>Управление персоналом (Human Resources, HR).</w:t>
      </w:r>
    </w:p>
    <w:p>
      <w:pPr>
        <w:spacing w:after="120"/>
      </w:pPr>
      <w:r>
        <w:t>СУОР — система управления операционными рисками; ЦОД — центр обработки данных; ИТ — информационные технологии; ИБ — информационная безопасность.</w:t>
      </w:r>
    </w:p>
    <w:p>
      <w:pPr>
        <w:pStyle w:val="Heading1"/>
        <w:keepNext/>
        <w:pageBreakBefore w:val="0"/>
      </w:pPr>
      <w:r>
        <w:rPr>
          <w:color w:val="000000"/>
        </w:rPr>
        <w:t>Содержание</w:t>
      </w:r>
    </w:p>
    <w:p>
      <w:pPr>
        <w:pageBreakBefore w:val="0"/>
        <w:spacing w:after="60"/>
      </w:pPr>
      <w:hyperlink w:anchor="chapter_1">
        <w:r>
          <w:t>1. Архитектура системы управления рисками</w:t>
        </w:r>
      </w:hyperlink>
    </w:p>
    <w:p>
      <w:pPr>
        <w:pageBreakBefore w:val="0"/>
        <w:spacing w:after="60"/>
      </w:pPr>
      <w:hyperlink w:anchor="chapter_2">
        <w:r>
          <w:t>2. Инвентаризация действующей нормативной базы</w:t>
        </w:r>
      </w:hyperlink>
    </w:p>
    <w:p>
      <w:pPr>
        <w:pageBreakBefore w:val="0"/>
        <w:spacing w:after="60"/>
      </w:pPr>
      <w:hyperlink w:anchor="chapter_3">
        <w:r>
          <w:t>3. Пакет регламентирующей документации</w:t>
        </w:r>
      </w:hyperlink>
    </w:p>
    <w:p>
      <w:pPr>
        <w:pageBreakBefore w:val="0"/>
        <w:spacing w:after="60"/>
      </w:pPr>
      <w:hyperlink w:anchor="chapter_4">
        <w:r>
          <w:t>4. Основное Положение о СУОР: что в него включить</w:t>
        </w:r>
      </w:hyperlink>
    </w:p>
    <w:p>
      <w:pPr>
        <w:pageBreakBefore w:val="0"/>
        <w:spacing w:after="60"/>
      </w:pPr>
      <w:hyperlink w:anchor="chapter_5">
        <w:r>
          <w:t>5. Ответственность работников ЦОД</w:t>
        </w:r>
      </w:hyperlink>
    </w:p>
    <w:p>
      <w:pPr>
        <w:pageBreakBefore w:val="0"/>
        <w:spacing w:after="60"/>
      </w:pPr>
      <w:hyperlink w:anchor="chapter_6">
        <w:r>
          <w:t>6. Матрица распределения ответственности (RACI): кто разрабатывает меры, кто контролирует и кто исполняет</w:t>
        </w:r>
      </w:hyperlink>
    </w:p>
    <w:p>
      <w:pPr>
        <w:pageBreakBefore w:val="0"/>
        <w:spacing w:after="60"/>
      </w:pPr>
      <w:hyperlink w:anchor="chapter_7">
        <w:r>
          <w:t>7. Процедура риска: от выявления до переоценки</w:t>
        </w:r>
      </w:hyperlink>
    </w:p>
    <w:p>
      <w:pPr>
        <w:pageBreakBefore w:val="0"/>
        <w:spacing w:after="60"/>
      </w:pPr>
      <w:hyperlink w:anchor="chapter_8">
        <w:r>
          <w:t>8. Регламент мероприятий по снижению риска</w:t>
        </w:r>
      </w:hyperlink>
    </w:p>
    <w:p>
      <w:pPr>
        <w:pageBreakBefore w:val="0"/>
        <w:spacing w:after="60"/>
      </w:pPr>
      <w:hyperlink w:anchor="chapter_9">
        <w:r>
          <w:t>9. Инциденты, события без последствий и операционные потери</w:t>
        </w:r>
      </w:hyperlink>
    </w:p>
    <w:p>
      <w:pPr>
        <w:pageBreakBefore w:val="0"/>
        <w:spacing w:after="60"/>
      </w:pPr>
      <w:hyperlink w:anchor="chapter_10">
        <w:r>
          <w:t>10. Ключевые индикаторы риска (KRI) и контроль профиля риска</w:t>
        </w:r>
      </w:hyperlink>
    </w:p>
    <w:p>
      <w:pPr>
        <w:pageBreakBefore w:val="0"/>
        <w:spacing w:after="60"/>
      </w:pPr>
      <w:hyperlink w:anchor="chapter_11">
        <w:r>
          <w:t>11. Положение о страховой защите ЦОД</w:t>
        </w:r>
      </w:hyperlink>
    </w:p>
    <w:p>
      <w:pPr>
        <w:pageBreakBefore w:val="0"/>
        <w:spacing w:after="60"/>
      </w:pPr>
      <w:hyperlink w:anchor="chapter_12">
        <w:r>
          <w:t>12. Регламент страхового случая</w:t>
        </w:r>
      </w:hyperlink>
    </w:p>
    <w:p>
      <w:pPr>
        <w:pageBreakBefore w:val="0"/>
        <w:spacing w:after="60"/>
      </w:pPr>
      <w:hyperlink w:anchor="chapter_13">
        <w:r>
          <w:t>13. Подрядчики, соглашения об уровне сервиса (SLA) и ответственность</w:t>
        </w:r>
      </w:hyperlink>
    </w:p>
    <w:p>
      <w:pPr>
        <w:pageBreakBefore w:val="0"/>
        <w:spacing w:after="60"/>
      </w:pPr>
      <w:hyperlink w:anchor="chapter_14">
        <w:r>
          <w:t>14. Управленческая отчётность и цикл принятия решений</w:t>
        </w:r>
      </w:hyperlink>
    </w:p>
    <w:p>
      <w:pPr>
        <w:pageBreakBefore w:val="0"/>
        <w:spacing w:after="60"/>
      </w:pPr>
      <w:hyperlink w:anchor="chapter_15">
        <w:r>
          <w:t>15. Какие формы и реестры подготовить</w:t>
        </w:r>
      </w:hyperlink>
    </w:p>
    <w:p>
      <w:pPr>
        <w:pageBreakBefore w:val="0"/>
        <w:spacing w:after="60"/>
      </w:pPr>
      <w:hyperlink w:anchor="chapter_16">
        <w:r>
          <w:t>16. Целевая модель управления</w:t>
        </w:r>
      </w:hyperlink>
    </w:p>
    <w:p>
      <w:bookmarkStart w:id="101" w:name="chapter_1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1. Архитектура системы управления рисками</w:t>
      </w:r>
      <w:bookmarkEnd w:id="101"/>
    </w:p>
    <w:p>
      <w:pPr>
        <w:pageBreakBefore w:val="0"/>
      </w:pPr>
      <w:r>
        <w:rPr>
          <w:b w:val="0"/>
          <w:i w:val="0"/>
        </w:rPr>
        <w:t>Цель — не создать отдельный «Excel риск-менеджера», а встроить управление рисками и страхованием в ежедневную работу ЦОД: эксплуатацию, ИТ, ИБ, работу с подрядчиками, управление изменениями, аварийное реагирование и финансовое планирование.</w:t>
      </w:r>
    </w:p>
    <w:p>
      <w:pPr>
        <w:shd w:fill="FFF4E5"/>
        <w:pageBreakBefore w:val="0"/>
        <w:pBdr>
          <w:left w:val="single" w:sz="20" w:space="8" w:color="D97706"/>
        </w:pBdr>
        <w:spacing w:before="100" w:after="100"/>
        <w:ind w:left="198" w:right="57"/>
      </w:pPr>
      <w:r>
        <w:rPr>
          <w:b/>
          <w:i w:val="0"/>
        </w:rPr>
        <w:t>Ограничение: внутренние методики и регламенты конкретной организации не являются частью книги. Поэтому проект целевой системы необходимо сопоставить с действующими корпоративными документами и адаптировать к ним.</w:t>
      </w:r>
      <w:r>
        <w:rPr>
          <w:b w:val="0"/>
          <w:i w:val="0"/>
        </w:rPr>
      </w:r>
      <w:r>
        <w:rPr>
          <w:b/>
          <w:i w:val="0"/>
        </w:rPr>
      </w:r>
      <w:r>
        <w:rPr>
          <w:b w:val="0"/>
          <w:i w:val="0"/>
        </w:rPr>
      </w:r>
    </w:p>
    <w:p>
      <w:pPr>
        <w:pageBreakBefore w:val="0"/>
      </w:pPr>
      <w:r>
        <w:rPr>
          <w:b w:val="0"/>
          <w:i w:val="0"/>
        </w:rPr>
        <w:t>Для ЦОД система управления операционными рисками должна охватывать регистрацию инцидентов, методическую поддержку подразделений, нормативную документацию, страхование имущества, договорные риски и управленческую отчётность.</w:t>
      </w:r>
    </w:p>
    <w:p>
      <w:pPr>
        <w:keepNext/>
        <w:pageBreakBefore w:val="0"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760000" cy="23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 w:val="0"/>
        <w:jc w:val="center"/>
      </w:pPr>
      <w:r>
        <w:rPr>
          <w:i/>
          <w:color w:val="5A646E"/>
          <w:sz w:val="17"/>
        </w:rPr>
        <w:t>Предлагаемая архитектура: один верхнеуровневый документ, рабочие процедуры и единые формы.</w:t>
      </w:r>
    </w:p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/>
          <w:i w:val="0"/>
        </w:rPr>
        <w:t>Целевая модель: руководители процессов и технических систем остаются владельцами рисков; профильные специалисты разрабатывают технические меры; риск-менеджер отвечает за методологию, качество оценок, единый реестр, контроль сроков и отчётность; руководство утверждает правила, критические решения и программу страхования. Страхование привязывается к реестру рисков и остаточной экспозиции.</w:t>
      </w:r>
      <w:r>
        <w:rPr>
          <w:b w:val="0"/>
          <w:i w:val="0"/>
        </w:rPr>
      </w:r>
    </w:p>
    <w:p>
      <w:bookmarkStart w:id="102" w:name="chapter_2"/>
      <w:pPr>
        <w:pStyle w:val="Heading1"/>
        <w:keepNext/>
        <w:pageBreakBefore w:val="0"/>
      </w:pPr>
      <w:r>
        <w:rPr>
          <w:b w:val="0"/>
          <w:i w:val="0"/>
          <w:color w:val="000000"/>
        </w:rPr>
        <w:t>2. Инвентаризация действующей нормативной базы</w:t>
      </w:r>
      <w:bookmarkEnd w:id="102"/>
    </w:p>
    <w:p>
      <w:pPr>
        <w:pageBreakBefore w:val="0"/>
      </w:pPr>
      <w:r>
        <w:rPr>
          <w:b w:val="0"/>
          <w:i w:val="0"/>
        </w:rPr>
        <w:t>Сначала нужно провести инвентаризацию уже действующей нормативной базы. Новая документация должна дополнять, а не дублировать существующие правила.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tblHeader w:val="true"/>
          <w:cantSplit/>
          <w:tblHeader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Блок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Что запросить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Зачем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Корпоративное управление рисками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политика/положение по рискам; методика оценки; матрица; риск-аппетит; формы реестров; отчётность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сохранить обязательные термины, шкалы и уровни эскалации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Инциденты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классификатор; процедуры службы поддержки / управления ИТ-услугами (ITSM); аварийные регламенты; порядок расследований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 создавать параллельную систему событий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Эксплуатация ЦОД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регламенты эксплуатации, ППР/ТО, переключения, допуски, аварийные инструкции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привязать риски к реальным процессам и контролям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ИТ и ИБ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процедуры изменений, резервного копирования, центра мониторинга информационной безопасности (SOC) / ИБ-инцидентов, управления доступом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определить границы между операционным риском и профильными функциями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Непрерывность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планы непрерывности и восстановления (BCP/DRP), анализ влияния на бизнес (BIA), целевое время и точка восстановления (RTO/RPO)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согласовать риск-менеджмент с операционной устойчивостью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Подрядчики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типовые договоры, соглашения об уровне сервиса (SLA), лимиты ответственности, требования к страхованию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встроить третьи стороны в СУОР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Страхование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действующие полисы, приложения, лимиты, франшизы, исключения, история убытков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провести анализ разрывов страховой программы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Финансы/учёт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реестр ОС, восстановительные стоимости, правила расчёта убытка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корректно определять страховые суммы и ущерб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Аудит/контроль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акты проверок, замечания, планы устранения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использовать уже выявленные слабости</w:t>
            </w:r>
          </w:p>
        </w:tc>
      </w:tr>
    </w:tbl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/>
          <w:i w:val="0"/>
        </w:rPr>
        <w:t>Выход:</w:t>
      </w:r>
      <w:r>
        <w:rPr>
          <w:b w:val="0"/>
          <w:i w:val="0"/>
        </w:rPr>
        <w:t xml:space="preserve"> таблица «действующий документ → что регулирует → владелец → что оставить → что дополнить». Только после этого утверждается перечень новых НД.</w:t>
      </w:r>
    </w:p>
    <w:p>
      <w:bookmarkStart w:id="103" w:name="chapter_3"/>
      <w:pPr>
        <w:pStyle w:val="Heading1"/>
        <w:keepNext/>
        <w:pageBreakBefore w:val="0"/>
      </w:pPr>
      <w:r>
        <w:rPr>
          <w:b w:val="0"/>
          <w:i w:val="0"/>
          <w:color w:val="000000"/>
        </w:rPr>
        <w:t>3. Пакет регламентирующей документации</w:t>
      </w:r>
      <w:bookmarkEnd w:id="103"/>
    </w:p>
    <w:p>
      <w:pPr>
        <w:pageBreakBefore w:val="0"/>
      </w:pPr>
      <w:r>
        <w:rPr>
          <w:b w:val="0"/>
          <w:i w:val="0"/>
        </w:rPr>
        <w:t>Оптимально разделить нормативную систему на три уровня.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Документ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Положение о системе управления операционными рисками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цели, область, роли, три линии, жизненный цикл риска, комитеты, отчётность, связь с инцидентами и страхованием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Методика выявления и оценки рисков / самооценки рисков и контролей (RCSA)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шкалы вероятности и последствий, присущий/остаточный риск, оценка контролей, правила переоценки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 ведения реестра рисков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поля, идентификаторы, статусы, версии, владелец, периодичность актуализации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 регистрации событий операционного риска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инциденты, событие без последствий, сроки регистрации, классификация, ущерб, первопричины, эскалация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 мероприятий по рискам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кто формирует, согласует, исполняет, контролирует срок и проверяет эффективность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Методика ключевых индикаторов риска и контроля (KRI/KCI)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индикаторы, источники данных, владельцы, пороги, частота мониторинга, действия при нарушении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Заявление о риск-аппетите и толерантности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границы принятия риска, критические запреты, правила эскалации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Положение о страховой защите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объекты, принципы выбора покрытия, лимиты, франшизы, ежегодный пересмотр, роли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 страхового случая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уведомление, доказательства, осмотр, пакет документов, урегулирование, возмещение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Стандарт требований к подрядчикам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SLA, ответственность, страхование, участие в расследовании, доказательства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Регламент отчётности по рискам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ежемесячный/квартальный пакет, основные риски, инциденты, меры, страхование</w:t>
            </w: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pageBreakBefore w:val="0"/>
      </w:pPr>
      <w:r>
        <w:rPr>
          <w:b w:val="0"/>
          <w:i w:val="0"/>
        </w:rPr>
        <w:t>Если аналогичный документ уже действует на уровне группы или компании, вместо нового положения создаётся локальное приложение/инструкция, которая связывает корпоративное требование с процессами конкретного ЦОД.</w:t>
      </w:r>
    </w:p>
    <w:p>
      <w:pPr>
        <w:pageBreakBefore w:val="0"/>
        <w:jc w:val="center"/>
      </w:pPr>
      <w:r>
        <w:rPr>
          <w:i/>
          <w:color w:val="5A646E"/>
          <w:sz w:val="17"/>
        </w:rPr>
        <w:t>Иерархия документов должна быть простой и понятной пользователям.</w:t>
      </w:r>
    </w:p>
    <w:p>
      <w:bookmarkStart w:id="104" w:name="chapter_4"/>
      <w:pPr>
        <w:pStyle w:val="Heading1"/>
        <w:keepNext/>
        <w:pageBreakBefore w:val="0"/>
      </w:pPr>
      <w:r>
        <w:rPr>
          <w:b w:val="0"/>
          <w:i w:val="0"/>
          <w:color w:val="000000"/>
        </w:rPr>
        <w:t>4. Основное Положение о СУОР: что в него включить</w:t>
      </w:r>
      <w:bookmarkEnd w:id="104"/>
    </w:p>
    <w:p>
      <w:pPr>
        <w:pStyle w:val="ListBullet"/>
        <w:pageBreakBefore w:val="0"/>
      </w:pPr>
      <w:r>
        <w:rPr>
          <w:b/>
          <w:i w:val="0"/>
        </w:rPr>
        <w:t>Цель:</w:t>
      </w:r>
      <w:r>
        <w:rPr>
          <w:b w:val="0"/>
          <w:i w:val="0"/>
        </w:rPr>
        <w:t xml:space="preserve"> предотвращение и снижение операционных потерь, поддержание устойчивости ЦОД, прозрачное принятие остаточного риска и передача части риска через страхование.</w:t>
      </w:r>
    </w:p>
    <w:p>
      <w:pPr>
        <w:pStyle w:val="ListBullet"/>
        <w:pageBreakBefore w:val="0"/>
      </w:pPr>
      <w:r>
        <w:rPr>
          <w:b/>
          <w:i w:val="0"/>
        </w:rPr>
        <w:t>Область:</w:t>
      </w:r>
      <w:r>
        <w:rPr>
          <w:b w:val="0"/>
          <w:i w:val="0"/>
        </w:rPr>
        <w:t xml:space="preserve"> инженерные системы, ИТ, ИБ, персонал, процессы, подрядчики, физическая среда, внешние события, проекты и изменения.</w:t>
      </w:r>
    </w:p>
    <w:p>
      <w:pPr>
        <w:pStyle w:val="ListBullet"/>
        <w:pageBreakBefore w:val="0"/>
      </w:pPr>
      <w:r>
        <w:rPr>
          <w:b/>
          <w:i w:val="0"/>
        </w:rPr>
        <w:t>Единая терминология:</w:t>
      </w:r>
      <w:r>
        <w:rPr>
          <w:b w:val="0"/>
          <w:i w:val="0"/>
        </w:rPr>
        <w:t xml:space="preserve"> риск, событие, инцидент, событие без последствий, контроль, присущий и остаточный риск, владелец риска, владелец контроля, владелец мероприятия, KRI, толерантность, страховой случай.</w:t>
      </w:r>
    </w:p>
    <w:p>
      <w:pPr>
        <w:pStyle w:val="ListBullet"/>
        <w:pageBreakBefore w:val="0"/>
      </w:pPr>
      <w:r>
        <w:rPr>
          <w:b/>
          <w:i w:val="0"/>
        </w:rPr>
        <w:t>Принцип владения:</w:t>
      </w:r>
      <w:r>
        <w:rPr>
          <w:b w:val="0"/>
          <w:i w:val="0"/>
        </w:rPr>
        <w:t xml:space="preserve"> риск принадлежит руководителю процесса/системы, который может на него влиять.</w:t>
      </w:r>
    </w:p>
    <w:p>
      <w:pPr>
        <w:pStyle w:val="ListBullet"/>
        <w:pageBreakBefore w:val="0"/>
      </w:pPr>
      <w:r>
        <w:rPr>
          <w:b/>
          <w:i w:val="0"/>
        </w:rPr>
        <w:t>Три линии:</w:t>
      </w:r>
      <w:r>
        <w:rPr>
          <w:b w:val="0"/>
          <w:i w:val="0"/>
        </w:rPr>
        <w:t xml:space="preserve"> первая линия управляет риском; риск-функция задаёт методологию и критически оценивает; независимая функция проверяет систему.</w:t>
      </w:r>
    </w:p>
    <w:p>
      <w:pPr>
        <w:pStyle w:val="ListBullet"/>
        <w:pageBreakBefore w:val="0"/>
      </w:pPr>
      <w:r>
        <w:rPr>
          <w:b/>
          <w:i w:val="0"/>
        </w:rPr>
        <w:t>Жизненный цикл:</w:t>
      </w:r>
      <w:r>
        <w:rPr>
          <w:b w:val="0"/>
          <w:i w:val="0"/>
        </w:rPr>
        <w:t xml:space="preserve"> выявить → оценить → назначить владельца → определить контроли → остаточный риск → меры → мониторинг → переоценка.</w:t>
      </w:r>
    </w:p>
    <w:p>
      <w:pPr>
        <w:pStyle w:val="ListBullet"/>
        <w:pageBreakBefore w:val="0"/>
      </w:pPr>
      <w:r>
        <w:rPr>
          <w:b/>
          <w:i w:val="0"/>
        </w:rPr>
        <w:t>Связь с инцидентами:</w:t>
      </w:r>
      <w:r>
        <w:rPr>
          <w:b w:val="0"/>
          <w:i w:val="0"/>
        </w:rPr>
        <w:t xml:space="preserve"> крупный инцидент должен приводить к проверке реестра рисков и контролей.</w:t>
      </w:r>
    </w:p>
    <w:p>
      <w:pPr>
        <w:pStyle w:val="ListBullet"/>
        <w:pageBreakBefore w:val="0"/>
      </w:pPr>
      <w:r>
        <w:rPr>
          <w:b/>
          <w:i w:val="0"/>
        </w:rPr>
        <w:t>Связь со страхованием:</w:t>
      </w:r>
      <w:r>
        <w:rPr>
          <w:b w:val="0"/>
          <w:i w:val="0"/>
        </w:rPr>
        <w:t xml:space="preserve"> значимые остаточные риски проверяются на возможность передачи/страхования.</w:t>
      </w:r>
    </w:p>
    <w:p>
      <w:pPr>
        <w:pStyle w:val="ListBullet"/>
        <w:pageBreakBefore w:val="0"/>
      </w:pPr>
      <w:r>
        <w:rPr>
          <w:b/>
          <w:i w:val="0"/>
        </w:rPr>
        <w:t>Управление изменениями:</w:t>
      </w:r>
      <w:r>
        <w:rPr>
          <w:b w:val="0"/>
          <w:i w:val="0"/>
        </w:rPr>
        <w:t xml:space="preserve"> новая система, проект, подрядчик или существенное изменение проходит оценку риска до внедрения.</w:t>
      </w:r>
    </w:p>
    <w:p>
      <w:pPr>
        <w:pStyle w:val="ListBullet"/>
        <w:pageBreakBefore w:val="0"/>
      </w:pPr>
      <w:r>
        <w:rPr>
          <w:b/>
          <w:i w:val="0"/>
        </w:rPr>
        <w:t>Эскалация:</w:t>
      </w:r>
      <w:r>
        <w:rPr>
          <w:b w:val="0"/>
          <w:i w:val="0"/>
        </w:rPr>
        <w:t xml:space="preserve"> риски вне толерантности, критические инциденты, просроченные критические меры, крупные страховые убытки.</w:t>
      </w:r>
    </w:p>
    <w:p>
      <w:pPr>
        <w:keepNext/>
        <w:pageBreakBefore w:val="0"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760000" cy="23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ree_lin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 w:val="0"/>
        <w:jc w:val="center"/>
      </w:pPr>
      <w:r>
        <w:rPr>
          <w:i/>
          <w:color w:val="5A646E"/>
          <w:sz w:val="17"/>
        </w:rPr>
        <w:t>Риск-менеджер не должен становиться владельцем всех рисков.</w:t>
      </w:r>
    </w:p>
    <w:p>
      <w:pPr>
        <w:shd w:fill="EAF2F8"/>
        <w:pageBreakBefore w:val="0"/>
        <w:pBdr>
          <w:left w:val="single" w:sz="20" w:space="8" w:color="2F75B5"/>
        </w:pBdr>
        <w:spacing w:before="100" w:after="100"/>
        <w:ind w:left="198" w:right="57"/>
      </w:pPr>
      <w:r>
        <w:rPr>
          <w:b w:val="0"/>
          <w:i w:val="0"/>
        </w:rPr>
        <w:t>Базельская практика подчёркивает: первая линия владеет операционными рисками и контролями; независимая риск-функция разрабатывает политики и методологию, проверяет последовательность применения инструментов и ведёт мониторинг профиля риска; третья линия даёт независимое подтверждение.</w:t>
      </w:r>
    </w:p>
    <w:p>
      <w:bookmarkStart w:id="105" w:name="chapter_5"/>
      <w:pPr>
        <w:pStyle w:val="Heading1"/>
        <w:keepNext/>
        <w:pageBreakBefore w:val="0"/>
      </w:pPr>
      <w:r>
        <w:rPr>
          <w:b w:val="0"/>
          <w:i w:val="0"/>
          <w:color w:val="000000"/>
        </w:rPr>
        <w:t>5. Ответственность работников ЦОД</w:t>
      </w:r>
      <w:bookmarkEnd w:id="105"/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Роль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За что отвечает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Директор / генеральный директор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утверждает политику, риск-аппетит/толерантность, критические решения, программу страхования и крупные отклонения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Комитет по рискам / действующий управленческий комитет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рассматривает существенные межфункциональные риски, нарушения лимитов, крупные инциденты, просроченные меры, страховые решения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Корпоративный риск-менеджер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методология, реестр, RCSA, контроль качества регистрации, мониторинг сроков, консолидация отчётности, координация страхования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Руководитель подразделения / процесса / системы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владелец риска: подтверждает риск и оценку, определяет достаточность контролей, обеспечивает меры и ресурсы, принимает остаточный риск в пределах полномочий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Владелец контроля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обеспечивает работу конкретного контроля, его тестирование и доказательства исполнения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Владелец мероприятия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выполняет конкретное действие к сроку и предоставляет доказательство результата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Смена / инженер / ИТ-специалист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фиксирует событие, выполняет аварийные действия по профильным регламентам, сохраняет первичные данные и доказательства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ИТ / ИБ / инженерная эксплуатация / ПБ / ОТ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профильная экспертиза, специальные контроли, участие в расследованиях и разработке мер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Юристы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ответственность, претензии, договорные исключения, спорные страховые вопросы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Закупки / договорная функция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включает соглашения об уровне сервиса (SLA) и страховые требования в договоры, проверяет документы подрядчика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Финансы / бухгалтерия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стоимости активов, прямые убытки, перерыв в деятельности (BI), учёт премий, франшиз и выплат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Кадровая функция (HR)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компетенции, обучение, кадровые риски и данные по человеческому фактору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Внутренний аудит / независимый контроль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проверяет конструкцию и работу СУОР; не владеет рисками и не закрывает меры за первую линию</w:t>
            </w:r>
          </w:p>
        </w:tc>
      </w:tr>
    </w:tbl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/>
          <w:i w:val="0"/>
        </w:rPr>
        <w:t>Главная граница:</w:t>
      </w:r>
      <w:r>
        <w:rPr>
          <w:b w:val="0"/>
          <w:i w:val="0"/>
        </w:rPr>
        <w:t xml:space="preserve"> риск-менеджер отвечает за качество системы управления рисками, но не за техническую исправность ДГУ, чиллера, ИБП, сети, договора или сервера.</w:t>
      </w:r>
    </w:p>
    <w:p>
      <w:bookmarkStart w:id="106" w:name="chapter_6"/>
      <w:pPr>
        <w:pStyle w:val="Heading1"/>
        <w:keepNext/>
        <w:pageBreakBefore w:val="0"/>
      </w:pPr>
      <w:r>
        <w:rPr>
          <w:b w:val="0"/>
          <w:i w:val="0"/>
          <w:color w:val="000000"/>
        </w:rPr>
        <w:t>6. Матрица распределения ответственности (RACI): кто разрабатывает меры, кто контролирует и кто исполняет</w:t>
      </w:r>
      <w:bookmarkEnd w:id="106"/>
    </w:p>
    <w:p>
      <w:pPr>
        <w:pageBreakBefore w:val="0"/>
      </w:pPr>
      <w:r>
        <w:rPr>
          <w:b w:val="0"/>
          <w:i w:val="0"/>
        </w:rPr>
        <w:t>R = выполняет; A = несёт конечную ответственность/утверждает; C = консультируется; I = информируется; F = фасилитирует.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rPr>
          <w:tblHeader w:val="true"/>
          <w:cantSplit/>
          <w:tblHeader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Процесс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Директор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Риск-менеджер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Владелец риска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Профильный эксперт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Исполнитель меры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Аудит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Утвердить методику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Выявить риск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C/F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A/R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Провести самооценку рисков и контролей (RCSA)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R/F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Разработать мероприятие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Утвердить ресурсы/срок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I/A при крупных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Исполнить мероприятие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Контролировать срок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A/R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 по факту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Проверить эффективность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C/R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I/C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Принять риск выше лимита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Зарегистрировать инцидент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Расследовать крупный инцидент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C/F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Определить потребность в страховании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A/C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R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</w:tr>
      <w:tr>
        <w:trPr>
          <w:cantSplit/>
        </w:trPr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Независимо проверить СУОР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C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I</w:t>
            </w:r>
          </w:p>
        </w:tc>
        <w:tc>
          <w:tcPr>
            <w:tcW w:type="dxa" w:w="142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A/R</w:t>
            </w:r>
          </w:p>
        </w:tc>
      </w:tr>
    </w:tbl>
    <w:p>
      <w:pPr>
        <w:pageBreakBefore w:val="0"/>
      </w:pPr>
      <w:r>
        <w:rPr>
          <w:b w:val="0"/>
          <w:i w:val="0"/>
        </w:rPr>
        <w:t>Конкретные должности в матрице RACI нужно заменить на фактическую организационную структуру. В нормативном документе недопустимо оставлять формулировку «ответственное подразделение» без назначения роли.</w:t>
      </w:r>
    </w:p>
    <w:p>
      <w:bookmarkStart w:id="107" w:name="chapter_7"/>
      <w:pPr>
        <w:pStyle w:val="Heading1"/>
        <w:keepNext/>
        <w:pageBreakBefore w:val="0"/>
      </w:pPr>
      <w:r>
        <w:rPr>
          <w:b w:val="0"/>
          <w:i w:val="0"/>
          <w:color w:val="000000"/>
        </w:rPr>
        <w:t>7. Процедура риска: от выявления до переоценки</w:t>
      </w:r>
      <w:bookmarkEnd w:id="107"/>
    </w:p>
    <w:p>
      <w:pPr>
        <w:keepNext/>
        <w:pageBreakBefore w:val="0"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76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sk_cyc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 w:val="0"/>
        <w:jc w:val="center"/>
      </w:pPr>
      <w:r>
        <w:rPr>
          <w:i/>
          <w:color w:val="5A646E"/>
          <w:sz w:val="17"/>
        </w:rPr>
        <w:t>Жизненный цикл риска.</w:t>
      </w:r>
    </w:p>
    <w:p>
      <w:pPr>
        <w:pageBreakBefore w:val="0"/>
        <w:spacing w:after="60"/>
      </w:pPr>
      <w:r>
        <w:rPr>
          <w:b/>
          <w:i w:val="0"/>
        </w:rPr>
        <w:t>Выявление.</w:t>
      </w:r>
      <w:r>
        <w:rPr>
          <w:b w:val="0"/>
          <w:i w:val="0"/>
        </w:rPr>
        <w:t xml:space="preserve"> Владелец процесса/системы и профильные специалисты формулируют риск как событие, причины и последствия. Риск-менеджер помогает методически.</w:t>
      </w:r>
    </w:p>
    <w:p>
      <w:pPr>
        <w:pageBreakBefore w:val="0"/>
        <w:spacing w:after="60"/>
      </w:pPr>
      <w:r>
        <w:rPr>
          <w:b/>
          <w:i w:val="0"/>
        </w:rPr>
        <w:t>Присущий риск. Оценка без учёта конкретных контролей — по действующей корпоративной шкале организации.</w:t>
      </w:r>
      <w:r>
        <w:rPr>
          <w:b w:val="0"/>
          <w:i w:val="0"/>
        </w:rPr>
      </w:r>
    </w:p>
    <w:p>
      <w:pPr>
        <w:pageBreakBefore w:val="0"/>
        <w:spacing w:after="60"/>
      </w:pPr>
      <w:r>
        <w:rPr>
          <w:b/>
          <w:i w:val="0"/>
        </w:rPr>
        <w:t>Контроли.</w:t>
      </w:r>
      <w:r>
        <w:rPr>
          <w:b w:val="0"/>
          <w:i w:val="0"/>
        </w:rPr>
        <w:t xml:space="preserve"> Фиксируются реальные технические, организационные, договорные, страховые и мониторинговые меры.</w:t>
      </w:r>
    </w:p>
    <w:p>
      <w:pPr>
        <w:pageBreakBefore w:val="0"/>
        <w:spacing w:after="60"/>
      </w:pPr>
      <w:r>
        <w:rPr>
          <w:b/>
          <w:i w:val="0"/>
        </w:rPr>
        <w:t>Эффективность контролей.</w:t>
      </w:r>
      <w:r>
        <w:rPr>
          <w:b w:val="0"/>
          <w:i w:val="0"/>
        </w:rPr>
        <w:t xml:space="preserve"> У контроля должны быть владелец, периодичность, доказательство выполнения и способ теста.</w:t>
      </w:r>
    </w:p>
    <w:p>
      <w:pPr>
        <w:pageBreakBefore w:val="0"/>
        <w:spacing w:after="60"/>
      </w:pPr>
      <w:r>
        <w:rPr>
          <w:b/>
          <w:i w:val="0"/>
        </w:rPr>
        <w:t>Остаточный риск.</w:t>
      </w:r>
      <w:r>
        <w:rPr>
          <w:b w:val="0"/>
          <w:i w:val="0"/>
        </w:rPr>
        <w:t xml:space="preserve"> Оценка после контролей сравнивается с риск-аппетитом/толерантностью.</w:t>
      </w:r>
    </w:p>
    <w:p>
      <w:pPr>
        <w:pageBreakBefore w:val="0"/>
        <w:spacing w:after="60"/>
      </w:pPr>
      <w:r>
        <w:rPr>
          <w:b/>
          <w:i w:val="0"/>
        </w:rPr>
        <w:t>Решение.</w:t>
      </w:r>
      <w:r>
        <w:rPr>
          <w:b w:val="0"/>
          <w:i w:val="0"/>
        </w:rPr>
        <w:t xml:space="preserve"> Принять, снизить, избежать, передать часть риска, повысить готовность к восстановлению.</w:t>
      </w:r>
    </w:p>
    <w:p>
      <w:pPr>
        <w:pageBreakBefore w:val="0"/>
        <w:spacing w:after="60"/>
      </w:pPr>
      <w:r>
        <w:rPr>
          <w:b/>
          <w:i w:val="0"/>
        </w:rPr>
        <w:t>Мероприятия.</w:t>
      </w:r>
      <w:r>
        <w:rPr>
          <w:b w:val="0"/>
          <w:i w:val="0"/>
        </w:rPr>
        <w:t xml:space="preserve"> Назначаются тем, кто реально может изменить систему, процесс, договор или контроль.</w:t>
      </w:r>
    </w:p>
    <w:p>
      <w:pPr>
        <w:pageBreakBefore w:val="0"/>
        <w:spacing w:after="60"/>
      </w:pPr>
      <w:r>
        <w:rPr>
          <w:b/>
          <w:i w:val="0"/>
        </w:rPr>
        <w:t>Проверка эффективности.</w:t>
      </w:r>
      <w:r>
        <w:rPr>
          <w:b w:val="0"/>
          <w:i w:val="0"/>
        </w:rPr>
        <w:t xml:space="preserve"> После выполнения меры оценивается не только факт закрытия, но и изменение риска.</w:t>
      </w:r>
    </w:p>
    <w:p>
      <w:pPr>
        <w:pageBreakBefore w:val="0"/>
        <w:spacing w:after="60"/>
      </w:pPr>
      <w:r>
        <w:rPr>
          <w:b/>
          <w:i w:val="0"/>
        </w:rPr>
        <w:t>Переоценка. Планово и по триггерам: инцидент, модернизация, новый подрядчик, изменение полиса, изменение нагрузки, изменение соглашения об уровне сервиса (SLA).</w:t>
      </w:r>
      <w:r>
        <w:rPr>
          <w:b w:val="0"/>
          <w:i w:val="0"/>
        </w:rPr>
      </w:r>
    </w:p>
    <w:p>
      <w:pPr>
        <w:shd w:fill="EAF2F8"/>
        <w:pageBreakBefore w:val="0"/>
        <w:pBdr>
          <w:left w:val="single" w:sz="20" w:space="8" w:color="2F75B5"/>
        </w:pBdr>
        <w:spacing w:before="100" w:after="100"/>
        <w:ind w:left="198" w:right="57"/>
      </w:pPr>
      <w:r>
        <w:rPr>
          <w:b w:val="0"/>
          <w:i w:val="0"/>
        </w:rPr>
        <w:t>Самооценку рисков и контролей (RCSA) желательно проводить не одним человеком. Для ЦОД качественная оценка обычно требует участия владельца процесса, инженера/ИТ, профильной контрольной функции и риск-менеджера.</w:t>
      </w:r>
    </w:p>
    <w:p>
      <w:bookmarkStart w:id="108" w:name="chapter_8"/>
      <w:pPr>
        <w:pStyle w:val="Heading1"/>
        <w:keepNext/>
        <w:pageBreakBefore w:val="0"/>
      </w:pPr>
      <w:r>
        <w:rPr>
          <w:b w:val="0"/>
          <w:i w:val="0"/>
          <w:color w:val="000000"/>
        </w:rPr>
        <w:t>8. Регламент мероприятий по снижению риска</w:t>
      </w:r>
      <w:bookmarkEnd w:id="108"/>
    </w:p>
    <w:p>
      <w:pPr>
        <w:pageBreakBefore w:val="0"/>
      </w:pPr>
      <w:r>
        <w:rPr>
          <w:b w:val="0"/>
          <w:i w:val="0"/>
        </w:rPr>
        <w:t>Мероприятие формируется совместно владельцем риска и профильными специалистами. Риск-менеджер проверяет, что мера связана с причиной/слабым контролем, имеет владельца, срок и измеримый результат.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Поле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Что требуется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Источник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ссылка на риск, инцидент, аудит или KRI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Причина/слабость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что именно устраняется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Действие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конкретный результат, а не «усилить контроль»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Исполнитель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один владелец действия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Руководитель/согласующий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тот, кто обеспечивает ресурс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Срок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конкретная дата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Ресурс/бюджет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 необходимости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Критерий завершения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акт, настройка, испытание, договор, обученный персонал, внедрённая система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Критерий эффективности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как проверяем, что риск реально снизился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Новая оценка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остаточный риск после проверки эффекта</w:t>
            </w:r>
          </w:p>
        </w:tc>
      </w:tr>
    </w:tbl>
    <w:p>
      <w:pPr>
        <w:pageBreakBefore w:val="0"/>
      </w:pPr>
      <w:r>
        <w:rPr>
          <w:b w:val="0"/>
          <w:i w:val="0"/>
        </w:rPr>
        <w:t>Просроченное критическое мероприятие должно попадать в отчёт директору вместе с причиной, риском и предложением по новому сроку. Перенос даты — управленческое решение, а не техническое редактирование реестра.</w:t>
      </w:r>
    </w:p>
    <w:p>
      <w:bookmarkStart w:id="109" w:name="chapter_9"/>
      <w:pPr>
        <w:pStyle w:val="Heading1"/>
        <w:keepNext/>
        <w:pageBreakBefore w:val="0"/>
      </w:pPr>
      <w:r>
        <w:rPr>
          <w:b w:val="0"/>
          <w:i w:val="0"/>
          <w:color w:val="000000"/>
        </w:rPr>
        <w:t>9. Инциденты, события без последствий и операционные потери</w:t>
      </w:r>
      <w:bookmarkEnd w:id="109"/>
    </w:p>
    <w:p>
      <w:pPr>
        <w:keepNext/>
        <w:pageBreakBefore w:val="0"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760000" cy="27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cident_cycl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 w:val="0"/>
        <w:jc w:val="center"/>
      </w:pPr>
      <w:r>
        <w:rPr>
          <w:i/>
          <w:color w:val="5A646E"/>
          <w:sz w:val="17"/>
        </w:rPr>
        <w:t>Инцидент должен пройти полный цикл, а не закончиться на отметке «устранено».</w:t>
      </w:r>
    </w:p>
    <w:p>
      <w:pPr>
        <w:pageBreakBefore w:val="0"/>
      </w:pPr>
      <w:r>
        <w:rPr>
          <w:b w:val="0"/>
          <w:i w:val="0"/>
        </w:rPr>
        <w:t>База событий нужна не только для отчётности. Она калибрует вероятность, показывает слабые контроли и повторяемость, даёт данные для страхования и претензионной работы.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Карточка инцидента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Минимальное содержание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Идентификация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номер; дата/время возникновения, обнаружения и завершения; объект/система/процесс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Событие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что произошло без преждевременных выводов о виновности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Классификация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категория риска, тяжесть, затронутые сервисы/активы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Воздействие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простой, деградация, SLA, физический ущерб, клиенты, данные, безопасность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Причины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непосредственная, промежуточная, коренная; степень доказанности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какие не сработали и какие ограничили последствия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Подрядчик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участие, договор, SLA, ответственность, страхование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Страхование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потенциальный страховой случай, уведомление, статус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Меры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временные и постоянные, владельцы, сроки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Закрытие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подтверждение причины, ущерба, решений, страхового статуса и проверки мер</w:t>
            </w:r>
          </w:p>
        </w:tc>
      </w:tr>
    </w:tbl>
    <w:p>
      <w:pPr>
        <w:pageBreakBefore w:val="0"/>
      </w:pPr>
      <w:r>
        <w:rPr>
          <w:b w:val="0"/>
          <w:i w:val="0"/>
        </w:rPr>
        <w:t>Конкретные сроки регистрации и эскалации должны быть взяты из действующих процедур организации и аварийных регламентов. Их не следует задавать параллельно, если уже существует классификация в системе службы поддержки / управления ИТ-услугами (ITSM).</w:t>
      </w:r>
    </w:p>
    <w:p>
      <w:bookmarkStart w:id="110" w:name="chapter_10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10. Ключевые индикаторы риска (KRI) и контроль профиля риска</w:t>
      </w:r>
      <w:bookmarkEnd w:id="110"/>
    </w:p>
    <w:p>
      <w:pPr>
        <w:pageBreakBefore w:val="0"/>
      </w:pPr>
      <w:r>
        <w:rPr>
          <w:b w:val="0"/>
          <w:i w:val="0"/>
        </w:rPr>
        <w:t>Для каждого KRI фиксируются риск, владелец, источник данных, формула, периодичность, пороги и обязательное действие при нарушении.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Область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Примеры индикаторов для согласования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Электроснабжение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отказы запуска/синхронизации; часы работы без требуемого резервирования; просроченные ТО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Охлаждение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часы без N+1; запас доступной мощности; нарушения температурных диапазонов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ИБП/АКБ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непройденные тесты; модули с ухудшением параметров; просроченная термография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ИТ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доступность критических сервисов; повторные инциденты; просроченные критические изменения/патчи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Подрядчики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просрочки SLA; доля работ с неполной документацией; истёкшие страховые сертификаты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Риски/меры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риски вне толерантности; просроченные критические меры; повторяемость событий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Страхование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активы без актуальной страховой стоимости; истекающие полисы; незакрытые убытки</w:t>
            </w:r>
          </w:p>
        </w:tc>
      </w:tr>
    </w:tbl>
    <w:p>
      <w:pPr>
        <w:pageBreakBefore w:val="0"/>
      </w:pPr>
      <w:r>
        <w:rPr>
          <w:b w:val="0"/>
          <w:i w:val="0"/>
        </w:rPr>
        <w:t>Пороги должны опираться на технические требования, соглашения об уровне сервиса (SLA), статистику, риск-аппетит и реальную способность объекта сохранять устойчивость.</w:t>
      </w:r>
    </w:p>
    <w:p>
      <w:bookmarkStart w:id="111" w:name="chapter_11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11. Положение о страховой защите ЦОД</w:t>
      </w:r>
      <w:bookmarkEnd w:id="111"/>
    </w:p>
    <w:p>
      <w:pPr>
        <w:keepNext/>
        <w:pageBreakBefore w:val="0"/>
        <w:spacing w:before="100" w:after="100"/>
        <w:jc w:val="center"/>
      </w:pPr>
      <w:r>
        <w:drawing>
          <wp:inline xmlns:a="http://schemas.openxmlformats.org/drawingml/2006/main" xmlns:pic="http://schemas.openxmlformats.org/drawingml/2006/picture">
            <wp:extent cx="5760000" cy="27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urance-cycle-1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 w:val="0"/>
        <w:jc w:val="center"/>
      </w:pPr>
      <w:r>
        <w:rPr>
          <w:i/>
          <w:color w:val="5A646E"/>
          <w:sz w:val="17"/>
        </w:rPr>
        <w:t>Страховая защита — отдельный управляемый цикл внутри общей СУОР.</w:t>
      </w:r>
    </w:p>
    <w:p>
      <w:pPr>
        <w:pageBreakBefore w:val="0"/>
      </w:pPr>
      <w:r>
        <w:rPr>
          <w:b w:val="0"/>
          <w:i w:val="0"/>
        </w:rPr>
        <w:t>Страхование должно начинаться с карты экспозиций и остаточных рисков, а не с выбора страховщика.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Раздел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Что закрепить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Стратегия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какие потери компания готова удерживать, какие передавать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Реестр экспозиций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активы, восстановительная стоимость, критичность, собственник, местоположение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Имущество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здания, инженерные системы, ИТ-оборудование; лимиты и исключения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Поломка машин / электроника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если соответствующие покрытия применяются в действующей программе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Перерыв в деятельности (BI)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финансовый показатель, период ожидания, максимальный период возмещения, связь с физическим ущербом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Ответственность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имущество клиентов, гражданская ответственность, границы со штрафами и компенсации за нарушение соглашения об уровне сервиса (SLA)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Кибер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если предусмотрено корпоративной программой — связь с ИБ и киберинцидентами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Подрядчики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минимальные лимиты ответственности/страхования, виды работ, срок действия, территориальность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Франшизы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кто утверждает и сколько убытка компания готова удерживать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Лимиты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привязка к оценке потенциального крупного убытка и финансовой способности компании</w:t>
            </w:r>
          </w:p>
        </w:tc>
      </w:tr>
    </w:tbl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/>
          <w:i w:val="0"/>
        </w:rPr>
        <w:t>Ключевой принцип:</w:t>
      </w:r>
      <w:r>
        <w:rPr>
          <w:b w:val="0"/>
          <w:i w:val="0"/>
        </w:rPr>
        <w:t xml:space="preserve"> страхование дополняет внутренние контроли, резервирование и аварийную готовность, но не заменяет их.</w:t>
      </w:r>
    </w:p>
    <w:p>
      <w:pPr>
        <w:pageBreakBefore w:val="0"/>
      </w:pPr>
      <w:r>
        <w:rPr>
          <w:b w:val="0"/>
          <w:i w:val="0"/>
        </w:rPr>
        <w:t>Риск-менеджер ведёт карту «риск → контроль → остаточная экспозиция → страховое покрытие → лимит/франшиза/исключение → незастрахованный остаток». Эта карта позволяет руководству видеть, какая часть финансовых последствий действительно передана страховщику.</w:t>
      </w:r>
    </w:p>
    <w:p>
      <w:bookmarkStart w:id="112" w:name="chapter_12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12. Регламент страхового случая</w:t>
      </w:r>
      <w:bookmarkEnd w:id="112"/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tblHeader w:val="true"/>
          <w:cantSplit/>
          <w:tblHeader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Кто делает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Роль риск-менеджера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Первичная фиксация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смена/эксплуатация/ИТ по аварийному регламенту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определить страховую релевантность и сроки уведомления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Сохранение доказательств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технические подразделения, ИБ/служба безопасности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контроль логов, фото, деталей, актов, видео, журналов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Оценка ущерба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технические подразделения + финансы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свести структуру убытка и исключить двойной счёт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Осмотр страховщика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владелец объекта + риск-менеджер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координация доступа и документов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Претензия подрядчику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юристы + владелец договора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согласование с суброгацией/страховщиком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Расчёт перерыва в деятельности (BI)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финансы + бизнес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контроль соответствия условиям полиса</w:t>
            </w:r>
          </w:p>
        </w:tc>
      </w:tr>
      <w:tr>
        <w:trPr>
          <w:cantSplit/>
        </w:trPr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Закрытие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финансы/юристы/риск-менеджер</w:t>
            </w:r>
          </w:p>
        </w:tc>
        <w:tc>
          <w:tcPr>
            <w:tcW w:type="dxa" w:w="332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зафиксировать выплату, франшизу, отказ, возмещение и уроки</w:t>
            </w: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pageBreakBefore w:val="0"/>
      </w:pPr>
      <w:r>
        <w:rPr>
          <w:b w:val="0"/>
          <w:i w:val="0"/>
        </w:rPr>
        <w:t>В карточке убытка полезно вести четыре суммы: валовый ущерб → потенциально покрываемый ущерб → фактическая страховая выплата → возмещение от подрядчика/третьего лица. Разница показывает фактический остаточный финансовый ущерб.</w:t>
      </w:r>
      <w:r>
        <w:rPr>
          <w:b/>
          <w:i w:val="0"/>
        </w:rPr>
      </w:r>
      <w:r>
        <w:rPr>
          <w:b w:val="0"/>
          <w:i w:val="0"/>
        </w:rPr>
      </w:r>
    </w:p>
    <w:p>
      <w:bookmarkStart w:id="113" w:name="chapter_13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13. Подрядчики, соглашения об уровне сервиса (SLA) и ответственность</w:t>
      </w:r>
      <w:bookmarkEnd w:id="113"/>
    </w:p>
    <w:p>
      <w:pPr>
        <w:pageBreakBefore w:val="0"/>
      </w:pPr>
      <w:r>
        <w:rPr>
          <w:b w:val="0"/>
          <w:i w:val="0"/>
        </w:rPr>
        <w:t>Для ЦОД подрядчики — один из ключевых источников операционного риска. Договорная работа должна быть частью СУОР.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Условие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Зачем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чёткие границы ответственности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исключить серые зоны между эксплуатацией и подрядчиком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соглашение об уровне сервиса (SLA) и точка старта таймера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объективно измерять нарушение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аварийные каналы уведомления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 спорить после инцидента, какой канал считался официальным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лимит ответственности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понимать реально доступное взыскание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обязательное страхование ответственности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иметь дополнительный источник возмещения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участие в расследовании и сохранение доказательств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обеспечить причинный анализ и страховое урегулирование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исполнительная документация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доказательство качества работ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право проверки/аудита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контроль критического подрядчика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субподрядчики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не допустить неконтролируемой передачи критических работ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план непрерывности деятельности (BCP) / аварийная готовность</w:t>
            </w:r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понимать, способен ли подрядчик выполнить соглашение об уровне сервиса (SLA) при массовом событии</w:t>
            </w: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pageBreakBefore w:val="0"/>
      </w:pPr>
      <w:r>
        <w:rPr>
          <w:b w:val="0"/>
          <w:i w:val="0"/>
        </w:rPr>
        <w:t>Лимит полиса подрядчика нельзя автоматически считать доступной суммой возмещения: сначала проверяются договорный лимит ответственности, покрываемый характер события, исключения, франшиза и доказанность причинной связи.</w:t>
      </w:r>
    </w:p>
    <w:p>
      <w:bookmarkStart w:id="114" w:name="chapter_14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14. Управленческая отчётность и цикл принятия решений</w:t>
      </w:r>
      <w:bookmarkEnd w:id="114"/>
    </w:p>
    <w:p>
      <w:pPr>
        <w:pageBreakBefore w:val="0"/>
      </w:pPr>
      <w:r>
        <w:rPr>
          <w:b w:val="0"/>
          <w:i w:val="0"/>
        </w:rPr>
        <w:t>Основной отчёт должен быть коротким и ориентированным на решения.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blHeader w:val="true"/>
          <w:cantSplit/>
          <w:tblHeader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Блок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keepNext w:val="0"/>
              <w:keepLines w:val="0"/>
              <w:spacing w:after="80" w:before="60"/>
            </w:pPr>
            <w:r>
              <w:rPr>
                <w:rFonts w:ascii="Arial" w:hAnsi="Arial"/>
                <w:b/>
                <w:color w:val="FFFFFF"/>
                <w:sz w:val="17"/>
              </w:rPr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Что показывать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Профиль риска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топ-10 остаточных рисков и динамика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Нарушения толерантности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риски и ключевые индикаторы риска (KRI), требующие решения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Инциденты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существенные события, событие без последствий, повторяемость, причины, ущерб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Мероприятия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критические просрочки, переносы, блокеры, эффект закрытых мер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Контроли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существенные дефекты и непройденные тесты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Подрядчики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нарушения соглашений об уровне сервиса (SLA), претензии, проблемы страховых сертификатов</w:t>
            </w:r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Страхование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статус программы, незакрытые убытки, выплаты/отказы, ближайшие продления</w:t>
            </w:r>
          </w:p>
        </w:tc>
      </w:tr>
      <w:tr>
        <w:trPr>
          <w:cantSplit/>
        </w:trPr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Решения</w:t>
            </w:r>
          </w:p>
        </w:tc>
        <w:tc>
          <w:tcPr>
            <w:tcW w:type="dxa" w:w="498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7F9FB"/>
          </w:tcPr>
          <w:p>
            <w:pPr>
              <w:keepNext w:val="0"/>
              <w:keepLines w:val="0"/>
              <w:spacing w:after="80" w:before="60"/>
            </w:pPr>
            <w:r>
              <w:rPr>
                <w:sz w:val="17"/>
              </w:rPr>
              <w:t>что руководству нужно утвердить, принять, профинансировать или эскалировать</w:t>
            </w: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 w:val="0"/>
          <w:i w:val="0"/>
        </w:rPr>
        <w:t>Хороший отчёт по операционному риску — не архив реестра, а список текущих управленческих вопросов с фактами и вариантами решения.</w:t>
      </w:r>
    </w:p>
    <w:p>
      <w:bookmarkStart w:id="115" w:name="chapter_15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15. Какие формы и реестры подготовить</w:t>
      </w:r>
      <w:bookmarkEnd w:id="115"/>
    </w:p>
    <w:p>
      <w:pPr>
        <w:pStyle w:val="ListBullet"/>
        <w:pageBreakBefore w:val="0"/>
      </w:pPr>
      <w:r>
        <w:rPr>
          <w:b w:val="0"/>
          <w:i w:val="0"/>
        </w:rPr>
        <w:t>Карточка риска и центральный реестр рисков.</w:t>
      </w:r>
    </w:p>
    <w:p>
      <w:pPr>
        <w:pStyle w:val="ListBullet"/>
        <w:pageBreakBefore w:val="0"/>
      </w:pPr>
      <w:r>
        <w:rPr>
          <w:b w:val="0"/>
          <w:i w:val="0"/>
        </w:rPr>
        <w:t>Форма самооценки рисков и контролей (RCSA).</w:t>
      </w:r>
    </w:p>
    <w:p>
      <w:pPr>
        <w:pStyle w:val="ListBullet"/>
        <w:pageBreakBefore w:val="0"/>
      </w:pPr>
      <w:r>
        <w:rPr>
          <w:b w:val="0"/>
          <w:i w:val="0"/>
        </w:rPr>
        <w:t>Карточка контроля и реестр ключевых контролей.</w:t>
      </w:r>
    </w:p>
    <w:p>
      <w:pPr>
        <w:pStyle w:val="ListBullet"/>
        <w:pageBreakBefore w:val="0"/>
      </w:pPr>
      <w:r>
        <w:rPr>
          <w:b w:val="0"/>
          <w:i w:val="0"/>
        </w:rPr>
        <w:t>Реестр ключевых индикаторов риска и контроля (KRI/KCI) и порогов.</w:t>
      </w:r>
    </w:p>
    <w:p>
      <w:pPr>
        <w:pStyle w:val="ListBullet"/>
        <w:pageBreakBefore w:val="0"/>
      </w:pPr>
      <w:r>
        <w:rPr>
          <w:b w:val="0"/>
          <w:i w:val="0"/>
        </w:rPr>
        <w:t>Карточка инцидента / событие без последствий.</w:t>
      </w:r>
    </w:p>
    <w:p>
      <w:pPr>
        <w:pStyle w:val="ListBullet"/>
        <w:pageBreakBefore w:val="0"/>
      </w:pPr>
      <w:r>
        <w:rPr>
          <w:b w:val="0"/>
          <w:i w:val="0"/>
        </w:rPr>
        <w:t>Форма анализа первопричин.</w:t>
      </w:r>
    </w:p>
    <w:p>
      <w:pPr>
        <w:pStyle w:val="ListBullet"/>
        <w:pageBreakBefore w:val="0"/>
      </w:pPr>
      <w:r>
        <w:rPr>
          <w:b w:val="0"/>
          <w:i w:val="0"/>
        </w:rPr>
        <w:t>План мероприятий.</w:t>
      </w:r>
    </w:p>
    <w:p>
      <w:pPr>
        <w:pStyle w:val="ListBullet"/>
        <w:pageBreakBefore w:val="0"/>
      </w:pPr>
      <w:r>
        <w:rPr>
          <w:b w:val="0"/>
          <w:i w:val="0"/>
        </w:rPr>
        <w:t>Лист проверки эффективности мероприятия.</w:t>
      </w:r>
    </w:p>
    <w:p>
      <w:pPr>
        <w:pStyle w:val="ListBullet"/>
        <w:pageBreakBefore w:val="0"/>
      </w:pPr>
      <w:r>
        <w:rPr>
          <w:b w:val="0"/>
          <w:i w:val="0"/>
        </w:rPr>
        <w:t>Реестр страховых полисов.</w:t>
      </w:r>
    </w:p>
    <w:p>
      <w:pPr>
        <w:pStyle w:val="ListBullet"/>
        <w:pageBreakBefore w:val="0"/>
      </w:pPr>
      <w:r>
        <w:rPr>
          <w:b w:val="0"/>
          <w:i w:val="0"/>
        </w:rPr>
        <w:t>Реестр застрахованных активов и страховых стоимостей.</w:t>
      </w:r>
    </w:p>
    <w:p>
      <w:pPr>
        <w:pStyle w:val="ListBullet"/>
        <w:pageBreakBefore w:val="0"/>
      </w:pPr>
      <w:r>
        <w:rPr>
          <w:b w:val="0"/>
          <w:i w:val="0"/>
        </w:rPr>
        <w:t>Карточка страхового случая.</w:t>
      </w:r>
    </w:p>
    <w:p>
      <w:pPr>
        <w:pStyle w:val="ListBullet"/>
        <w:pageBreakBefore w:val="0"/>
      </w:pPr>
      <w:r>
        <w:rPr>
          <w:b w:val="0"/>
          <w:i w:val="0"/>
        </w:rPr>
        <w:t>Чек-лист уведомления страховщика.</w:t>
      </w:r>
    </w:p>
    <w:p>
      <w:pPr>
        <w:pStyle w:val="ListBullet"/>
        <w:pageBreakBefore w:val="0"/>
      </w:pPr>
      <w:r>
        <w:rPr>
          <w:b w:val="0"/>
          <w:i w:val="0"/>
        </w:rPr>
        <w:t>Чек-лист страховых требований к подрядчику.</w:t>
      </w:r>
    </w:p>
    <w:p>
      <w:pPr>
        <w:pStyle w:val="ListBullet"/>
        <w:pageBreakBefore w:val="0"/>
      </w:pPr>
      <w:r>
        <w:rPr>
          <w:b w:val="0"/>
          <w:i w:val="0"/>
        </w:rPr>
        <w:t>Квартальный управленческий отчёт.</w:t>
      </w:r>
    </w:p>
    <w:p>
      <w:pPr>
        <w:pStyle w:val="ListBullet"/>
        <w:pageBreakBefore w:val="0"/>
      </w:pPr>
      <w:r>
        <w:rPr>
          <w:b w:val="0"/>
          <w:i w:val="0"/>
        </w:rPr>
        <w:t>Протокол риск-комитета / управленческого рассмотрения.</w:t>
      </w:r>
    </w:p>
    <w:p>
      <w:pPr>
        <w:pageBreakBefore w:val="0"/>
      </w:pPr>
      <w:r>
        <w:rPr>
          <w:b w:val="0"/>
          <w:i w:val="0"/>
        </w:rPr>
        <w:t xml:space="preserve">Все объекты должны связываться идентификаторами: например </w:t>
      </w:r>
      <w:r>
        <w:rPr>
          <w:rFonts w:ascii="Consolas" w:hAnsi="Consolas"/>
          <w:b w:val="0"/>
          <w:i w:val="0"/>
          <w:sz w:val="18"/>
        </w:rPr>
        <w:t>R-0042</w:t>
      </w:r>
      <w:r>
        <w:rPr>
          <w:b w:val="0"/>
          <w:i w:val="0"/>
        </w:rPr>
        <w:t xml:space="preserve"> риск, </w:t>
      </w:r>
      <w:r>
        <w:rPr>
          <w:rFonts w:ascii="Consolas" w:hAnsi="Consolas"/>
          <w:b w:val="0"/>
          <w:i w:val="0"/>
          <w:sz w:val="18"/>
        </w:rPr>
        <w:t>INC-0031</w:t>
      </w:r>
      <w:r>
        <w:rPr>
          <w:b w:val="0"/>
          <w:i w:val="0"/>
        </w:rPr>
        <w:t xml:space="preserve"> инцидент, </w:t>
      </w:r>
      <w:r>
        <w:rPr>
          <w:rFonts w:ascii="Consolas" w:hAnsi="Consolas"/>
          <w:b w:val="0"/>
          <w:i w:val="0"/>
          <w:sz w:val="18"/>
        </w:rPr>
        <w:t>ACT-0118</w:t>
      </w:r>
      <w:r>
        <w:rPr>
          <w:b w:val="0"/>
          <w:i w:val="0"/>
        </w:rPr>
        <w:t xml:space="preserve"> мероприятие, </w:t>
      </w:r>
      <w:r>
        <w:rPr>
          <w:rFonts w:ascii="Consolas" w:hAnsi="Consolas"/>
          <w:b w:val="0"/>
          <w:i w:val="0"/>
          <w:sz w:val="18"/>
        </w:rPr>
        <w:t>CLM-0007</w:t>
      </w:r>
      <w:r>
        <w:rPr>
          <w:b w:val="0"/>
          <w:i w:val="0"/>
        </w:rPr>
        <w:t xml:space="preserve"> страховой случай. Тогда можно строить цепочку «риск → инцидент → мера → страховой убыток».</w:t>
      </w:r>
    </w:p>
    <w:p>
      <w:bookmarkStart w:id="116" w:name="chapter_16"/>
      <w:pPr>
        <w:pStyle w:val="Heading1"/>
        <w:keepNext/>
        <w:pageBreakBefore w:val="0"/>
      </w:pPr>
      <w:r>
        <w:rPr>
          <w:b w:val="0"/>
          <w:i w:val="0"/>
          <w:color w:val="000000"/>
        </w:rPr>
        <w:t>16. Целевая модель управления</w:t>
      </w:r>
      <w:bookmarkEnd w:id="116"/>
    </w:p>
    <w:p>
      <w:pPr>
        <w:shd w:fill="EDF7ED"/>
        <w:pageBreakBefore w:val="0"/>
        <w:pBdr>
          <w:left w:val="single" w:sz="20" w:space="8" w:color="548235"/>
        </w:pBdr>
        <w:spacing w:before="100" w:after="100"/>
        <w:ind w:left="198" w:right="57"/>
      </w:pPr>
      <w:r>
        <w:rPr>
          <w:b w:val="0"/>
          <w:i w:val="0"/>
        </w:rPr>
        <w:t>Система управления рисками строится как управленческий процесс, а не как отдельный реестр риск-менеджера. До разработки новых документов проводится сверка действующих корпоративных методик и регламентов, чтобы исключить дублирование. Затем формируется верхнеуровневое Положение о СУОР и рабочие процедуры: оценка рисков, инциденты, мероприятия, ключевые индикаторы риска (KRI), отчётность и страхование. Владельцами рисков являются руководители процессов и технических систем; профильные специалисты разрабатывают технические меры. За каждым мероприятием закрепляются исполнитель и руководитель, обеспечивающий ресурс. Риск-функция отвечает за методологию, единый реестр, качество регистрации, контроль сроков, переоценку и отчётность. По страхованию ведётся реестр экспозиций, сопоставляются риски с действующими полисами, проверяются лимиты, франшизы и исключения, организуется единый процесс страхового случая и требования к подрядчикам. Критические риски и нарушения толерантности выносятся на управленческое решение.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646464"/>
        <w:sz w:val="16"/>
      </w:rPr>
      <w:t>Система управления рисками и страхованием в ЦОД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4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4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F75B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ageBreakBefore w:val="0"/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00"/>
      <w:ind w:left="198" w:right="113"/>
    </w:pPr>
    <w:rPr>
      <w:rFonts w:ascii="Times New Roman" w:hAnsi="Times New Roman"/>
      <w:sz w:val="20"/>
    </w:rPr>
  </w:style>
  <w:style w:type="paragraph" w:customStyle="1" w:styleId="Warning">
    <w:name w:val="Warning"/>
    <w:pPr>
      <w:spacing w:before="100" w:after="100"/>
      <w:ind w:left="198" w:right="113"/>
    </w:pPr>
    <w:rPr>
      <w:rFonts w:ascii="Times New Roman" w:hAnsi="Times New Roman"/>
      <w:sz w:val="20"/>
    </w:rPr>
  </w:style>
  <w:style w:type="paragraph" w:customStyle="1" w:styleId="Good">
    <w:name w:val="Good"/>
    <w:pPr>
      <w:spacing w:before="100" w:after="100"/>
      <w:ind w:left="198" w:right="113"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8" Type="http://schemas.openxmlformats.org/officeDocument/2006/relationships/hyperlink" Target="https://nesiditsa.ru/vacancy/135319076" TargetMode="External"/><Relationship Id="rId19" Type="http://schemas.openxmlformats.org/officeDocument/2006/relationships/hyperlink" Target="https://xn--g1an9b.xn--p1ai/residents/infoteh-balakovo/" TargetMode="External"/><Relationship Id="rId20" Type="http://schemas.openxmlformats.org/officeDocument/2006/relationships/hyperlink" Target="https://saratov-oez.ru/stroitelstvo-rczod-v-balakovo/" TargetMode="External"/><Relationship Id="rId21" Type="http://schemas.openxmlformats.org/officeDocument/2006/relationships/hyperlink" Target="https://b2b.house/company/OOO-INFOTEX-BALAKOVO_46644447-15bf-4d6e-bb13-cd43498a9477/" TargetMode="External"/><Relationship Id="rId22" Type="http://schemas.openxmlformats.org/officeDocument/2006/relationships/hyperlink" Target="https://www.bis.org/bcbs/publ/d515.htm" TargetMode="External"/><Relationship Id="rId23" Type="http://schemas.openxmlformats.org/officeDocument/2006/relationships/hyperlink" Target="https://www.theirm.org/" TargetMode="External"/><Relationship Id="rId2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управления рисками и страхованием в ЦОД</dc:title>
  <dc:subject>Проект регламентирующей документации, ролей, RACI, инцидентов и страхования</dc:subject>
  <dc:creator>OpenAI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